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2E" w:rsidRDefault="008F3F2E" w:rsidP="00D0365E">
      <w:pPr>
        <w:pStyle w:val="Default"/>
        <w:jc w:val="right"/>
        <w:rPr>
          <w:b/>
          <w:bCs/>
          <w:sz w:val="28"/>
          <w:szCs w:val="28"/>
        </w:rPr>
      </w:pPr>
    </w:p>
    <w:p w:rsidR="00D0365E" w:rsidRPr="00D0365E" w:rsidRDefault="00116D8B" w:rsidP="00D03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="00D0365E" w:rsidRPr="00D0365E">
        <w:rPr>
          <w:b/>
          <w:bCs/>
          <w:sz w:val="28"/>
          <w:szCs w:val="28"/>
        </w:rPr>
        <w:t>ПЛАН</w:t>
      </w:r>
      <w:r w:rsidR="00C756AC">
        <w:rPr>
          <w:b/>
          <w:bCs/>
          <w:sz w:val="28"/>
          <w:szCs w:val="28"/>
        </w:rPr>
        <w:t>А</w:t>
      </w:r>
    </w:p>
    <w:p w:rsidR="00D0365E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5E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Конституционном суде Республики Татарстан</w:t>
      </w:r>
    </w:p>
    <w:p w:rsidR="00D0365E" w:rsidRPr="00F937AA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F937AA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D00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B16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F93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039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257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003B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B5851" w:rsidRPr="00254C14" w:rsidRDefault="002B5851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7796"/>
      </w:tblGrid>
      <w:tr w:rsidR="001E5DEC" w:rsidRPr="00CF026A" w:rsidTr="000F598C">
        <w:tc>
          <w:tcPr>
            <w:tcW w:w="959" w:type="dxa"/>
          </w:tcPr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</w:tcPr>
          <w:p w:rsidR="001E5DEC" w:rsidRPr="00CF026A" w:rsidRDefault="001E5DEC" w:rsidP="00F777B0">
            <w:pPr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F598C" w:rsidRPr="00CF026A" w:rsidTr="000F598C">
        <w:tc>
          <w:tcPr>
            <w:tcW w:w="14567" w:type="dxa"/>
            <w:gridSpan w:val="3"/>
          </w:tcPr>
          <w:p w:rsidR="000F598C" w:rsidRPr="00CF026A" w:rsidRDefault="000F598C" w:rsidP="0022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инструментов и механизмов, в том числе правовых и организационных, </w:t>
            </w:r>
          </w:p>
          <w:p w:rsidR="000F598C" w:rsidRPr="00CF026A" w:rsidRDefault="000F598C" w:rsidP="00225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 в КС РТ</w:t>
            </w: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1E5DEC" w:rsidRPr="00CF026A" w:rsidRDefault="001E5DEC" w:rsidP="0019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государственными гражданскими служащими аппарата Конституционного суда Республики Татарстан (далее - КС РТ) ограничений и запретов, требований о предотвращении и урегулировании конфликта интересов, исполнения ими обязанностей предусмотренных законодательством о государственной гражданской службе и о противодействии коррупции</w:t>
            </w:r>
          </w:p>
        </w:tc>
        <w:tc>
          <w:tcPr>
            <w:tcW w:w="7796" w:type="dxa"/>
          </w:tcPr>
          <w:p w:rsidR="00457039" w:rsidRPr="00CF026A" w:rsidRDefault="00457039" w:rsidP="00D003B0">
            <w:pPr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государственными служащими запретов, ограничений и требований, установленных в целях противодействия коррупции, касающихся возможности участия государственных служащих аппарата суда в коммерческих организациях или регистрации их в качестве индивидуальных предпринимателей проведен анализ с использованием систем ЕГРЮЛ (Единый государственный реестр юридических лиц) и ЕГРИП (Единый государственный реестр индивидуальных предпринимателей). Нарушения не выявлены.  </w:t>
            </w:r>
          </w:p>
          <w:p w:rsidR="00457039" w:rsidRPr="00CF026A" w:rsidRDefault="00457039" w:rsidP="00D003B0">
            <w:pPr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1E5DEC" w:rsidRPr="00CF026A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КС РТ в соответствии с законодательством о государственной службе и о противодействии коррупции. 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796" w:type="dxa"/>
          </w:tcPr>
          <w:p w:rsidR="001E5DEC" w:rsidRPr="00904F24" w:rsidRDefault="00B31E81" w:rsidP="00904F24">
            <w:pPr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проверок не возникало.</w:t>
            </w: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1E5DEC" w:rsidRPr="00CF026A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государственными служащими КС РТ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796" w:type="dxa"/>
          </w:tcPr>
          <w:p w:rsidR="001E5DEC" w:rsidRPr="00CF026A" w:rsidRDefault="001E5DEC" w:rsidP="00904F24">
            <w:pPr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проверок не возникало</w:t>
            </w:r>
            <w:r w:rsidR="00F777B0" w:rsidRPr="0090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2" w:type="dxa"/>
          </w:tcPr>
          <w:p w:rsidR="001E5DEC" w:rsidRPr="00CF026A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 КС РТ, поступающей Председателю КС РТ в установленном законодательством порядке</w:t>
            </w:r>
          </w:p>
        </w:tc>
        <w:tc>
          <w:tcPr>
            <w:tcW w:w="7796" w:type="dxa"/>
          </w:tcPr>
          <w:p w:rsidR="001E5DEC" w:rsidRPr="00CF026A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проведения проверок не возникало</w:t>
            </w:r>
            <w:r w:rsidR="00F777B0"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1E5DEC" w:rsidRPr="00CF026A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определенном Председателем Конституционного суда Республики Татарстан, проверок сведений о фактах обращения в целях склонения государственного служащего КС РТ к совершению коррупционных правонарушений</w:t>
            </w:r>
          </w:p>
        </w:tc>
        <w:tc>
          <w:tcPr>
            <w:tcW w:w="7796" w:type="dxa"/>
          </w:tcPr>
          <w:p w:rsidR="001E5DEC" w:rsidRPr="00CF026A" w:rsidRDefault="001E5DEC" w:rsidP="00F777B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от государственных гражданских служащих </w:t>
            </w:r>
            <w:r w:rsidR="00F777B0"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РТ</w:t>
            </w: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обращения с целью склонения к коррупционным правонарушениям не поступало</w:t>
            </w:r>
            <w:r w:rsidR="00F777B0"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F026A" w:rsidTr="000F598C">
        <w:tc>
          <w:tcPr>
            <w:tcW w:w="959" w:type="dxa"/>
          </w:tcPr>
          <w:p w:rsidR="001E5DEC" w:rsidRPr="00CF026A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1E5DEC" w:rsidRPr="00CF026A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Конституционного суда Республики Татарстан и урегулированию конфликта интересов 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7796" w:type="dxa"/>
          </w:tcPr>
          <w:p w:rsidR="00652D4E" w:rsidRPr="00CF026A" w:rsidRDefault="00DF1828" w:rsidP="00652D4E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соблюдению требований к служебному поведению государственных гражданских служащих аппарата КС РТ и урегулированию конфликта интересов утверждено</w:t>
            </w:r>
            <w:r w:rsidR="001E5DEC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1E5DEC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 КС РТ 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от 29 марта 2016 года № 6-од</w:t>
            </w:r>
            <w:r w:rsidR="00652D4E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Приказом от 23 марта 2018 года № 6-од вышеуказанное положение приведено в соответствие </w:t>
            </w:r>
            <w:r w:rsidR="00643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gramStart"/>
            <w:r w:rsidR="00652D4E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с  Указом</w:t>
            </w:r>
            <w:proofErr w:type="gramEnd"/>
            <w:r w:rsidR="00652D4E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Республики Татарстан от 11.12.2017  № УП-1092 «О внесении изменений в отдельные указы Президента Республики Татарстан по вопросам противодействия коррупции»</w:t>
            </w:r>
          </w:p>
          <w:p w:rsidR="001E5DEC" w:rsidRPr="00CF026A" w:rsidRDefault="00D003B0" w:rsidP="004570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DEC" w:rsidRPr="00CF026A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DEC"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1E5DEC"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DEC"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64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1C2"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EC" w:rsidRPr="00CF026A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  <w:p w:rsidR="00BE4D62" w:rsidRPr="00CF026A" w:rsidRDefault="00BE4D62" w:rsidP="00BE4D6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Планом предусмотрено проведение заседаний комиссии 1 раз в квартал. Но 1 заседание, проведение которого было запланировано</w:t>
            </w:r>
            <w:r w:rsidR="00643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на 27 марта 2020 года, в связи с введением особого санитарно-эпидемиологического режима было перенесено на более поздний срок.</w:t>
            </w:r>
          </w:p>
          <w:p w:rsidR="00BE4D62" w:rsidRPr="00CF026A" w:rsidRDefault="00BE4D62" w:rsidP="00457039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КС РТ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796" w:type="dxa"/>
          </w:tcPr>
          <w:p w:rsidR="000236A6" w:rsidRPr="00643F35" w:rsidRDefault="000236A6" w:rsidP="00643F3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 г.» и Указом Президента Республики Татарстан от 24.04.2020 № УП-250 «О представлении сведений о доходах, расходах, об </w:t>
            </w:r>
            <w:r w:rsidRPr="0090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за отчетный период с 1 января по 31 декабря 2019 года срок подачи сведений о доходах, расходах, об имуществе и обязательствах имущественного характера (далее - сведения о доходах) за отчетный период с 1 января по 31 декабря 2019 года для лиц, представляющих такие сведения 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исключением депутатов законодательных (представительных) органов государственной власти субъектов Российской Федерации (в Республике Татарстан - депутатов Государственного Совета Республики Татарстан)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, продлен до 1 августа 2020 года 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t>(вместо установленного срока – до 30 апреля)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За отчетный период меры юридической ответственности к государственным гражданским служащим не применялись.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возникновения конфликта интересов на государственной службе не выявлено.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должности государственной гражданской службы, требований о предотвращении или  об урегулировании конфликта интересов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наличии или возможности возникновения конфликта интересов у государственных гражданских служащих не выявлено. 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на предмет наличия в них информации о фактах коррупции со стороны государственных служащих аппарата КС РТ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КС РТ систематически проводится анализ обращений граждан на предмет наличия в них информации о фактах коррупции со стороны государственных служащих. Обращений с информацией о фактах коррупции в 2020 году не поступало.</w:t>
            </w:r>
          </w:p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приказов и распоряжений, издаваемых в КС РТ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В КС РТ проводится антикоррупционная экспертиза проектов приказов и распоряжений, издаваемых в суде.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представляемых при назначении и поступлении на должности государственной гражданской службы в аппарате КС РТ, в целях выявления возможного конфликта интересов</w:t>
            </w:r>
          </w:p>
        </w:tc>
        <w:tc>
          <w:tcPr>
            <w:tcW w:w="7796" w:type="dxa"/>
          </w:tcPr>
          <w:p w:rsidR="00F171CC" w:rsidRPr="00CF026A" w:rsidRDefault="00F171CC" w:rsidP="00904F2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Кадровой службой осуществляется контроль за актуализацией сведений, содержащихся в личных делах государственных гражданских служащих аппарата Конституционного суда Республики Татарстан. В целях выявления возможного конфликта интересов регулярно проводится сверка сведений, содержащихся в анкетах государственных служащих. Достоверность сведений, указанных в анкетах, государственные служащие ежегодно подтверждают личной подписью.</w:t>
            </w:r>
          </w:p>
          <w:p w:rsidR="00D003B0" w:rsidRDefault="00F171CC" w:rsidP="00904F24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исполнение </w:t>
            </w:r>
            <w:r w:rsidRPr="00CF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распоряжения Правительства Российской Федерации от 20 ноября 2019 года № 2745-р, в связи с утверждением новой формы анкеты, 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2020 года проведена работа по </w:t>
            </w:r>
            <w:r w:rsidRPr="00CF026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актуализации сведений о родственниках государственных гражданских служащих аппарата Конституционного суда Республики Татарстан.</w:t>
            </w:r>
          </w:p>
          <w:p w:rsidR="000236A6" w:rsidRPr="00D003B0" w:rsidRDefault="00F171CC" w:rsidP="00904F24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0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наличия конфликта интересов не выявлено.</w:t>
            </w:r>
          </w:p>
        </w:tc>
      </w:tr>
      <w:tr w:rsidR="0006373A" w:rsidRPr="00CF026A" w:rsidTr="00225AB3">
        <w:tc>
          <w:tcPr>
            <w:tcW w:w="14567" w:type="dxa"/>
            <w:gridSpan w:val="3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Антикоррупционное обучение и антикоррупционная пропаганда в КС РТ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внесение изменений в локальные  нормативные акты  КС РТ о противодействии коррупции </w:t>
            </w:r>
          </w:p>
        </w:tc>
        <w:tc>
          <w:tcPr>
            <w:tcW w:w="7796" w:type="dxa"/>
          </w:tcPr>
          <w:p w:rsidR="000236A6" w:rsidRPr="00CF026A" w:rsidRDefault="009324BB" w:rsidP="00D003B0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2020 </w:t>
            </w:r>
            <w:r w:rsidRPr="00A11B30">
              <w:rPr>
                <w:rFonts w:ascii="Times New Roman" w:hAnsi="Times New Roman" w:cs="Times New Roman"/>
                <w:sz w:val="24"/>
                <w:szCs w:val="24"/>
              </w:rPr>
              <w:t>года проекты нормативных правовых актов о противодействии коррупции в КС РТ не разрабатывались.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с привлечением к данной работе общественных объединений, участвующих в противодействии коррупции, и других институтов гражданского общества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171CC" w:rsidRPr="00CF026A" w:rsidRDefault="00F171CC" w:rsidP="00904F24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с апреля по июнь 2020 года государственным гражданским служащим аппарата Конституционного суда Республики Татарстан были направлены для ознакомления </w:t>
            </w:r>
            <w:proofErr w:type="spellStart"/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видеолекции</w:t>
            </w:r>
            <w:proofErr w:type="spellEnd"/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вопросам реализации антикоррупционной политики, подготовленные Управлением Президента Республики Татарстан по вопросам антикоррупционной политики, на следующие темы:</w:t>
            </w:r>
          </w:p>
          <w:p w:rsidR="00F171CC" w:rsidRPr="00CF026A" w:rsidRDefault="00F171CC" w:rsidP="00904F24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"</w:t>
            </w: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в области противодействия коррупции";</w:t>
            </w:r>
          </w:p>
          <w:p w:rsidR="00F171CC" w:rsidRPr="00CF026A" w:rsidRDefault="00F171CC" w:rsidP="00904F24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</w:t>
            </w: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Урегулирование</w:t>
            </w: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 интересов на государственной и муниципальной службе";</w:t>
            </w:r>
          </w:p>
          <w:p w:rsidR="000236A6" w:rsidRPr="00CF026A" w:rsidRDefault="00F171CC" w:rsidP="00904F24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"</w:t>
            </w: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CF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характера".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государственных гражданских служащих </w:t>
            </w:r>
            <w:proofErr w:type="gramStart"/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аппарата  КС</w:t>
            </w:r>
            <w:proofErr w:type="gramEnd"/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РТ: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— об изменениях, внесенных в законодательство РФ и РТ по вопросам государственной службы и противодействия коррупции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— о неотвратимости наказания за нарушение законодательства РФ и РТ по вопросам государственной службы и противодействия коррупции</w:t>
            </w:r>
          </w:p>
        </w:tc>
        <w:tc>
          <w:tcPr>
            <w:tcW w:w="7796" w:type="dxa"/>
          </w:tcPr>
          <w:p w:rsidR="000236A6" w:rsidRPr="00CF026A" w:rsidRDefault="000236A6" w:rsidP="00904F24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соблюдения ограничений, запретов, требований о предотвращении или об урегулировании конфликта интересов, этических норм поведения государственных гражданских служащих и исполнения ими обязанностей, установленных законодательством о противодействии коррупции,  был  продолжен курс корпоративного правового просвещения по вопросам прохождения государственной гражданской службы, требованиям к </w:t>
            </w:r>
            <w:r w:rsidRPr="00904F24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поведению, урегулированию конфликта интересов, ответственности за совершение должностных правонарушений. Перед государственными служащими аппарата суда с обзором законодательства и правовой информации, деятельности 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конституционных (уставных) </w:t>
            </w:r>
            <w:proofErr w:type="gramStart"/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судов  выступали</w:t>
            </w:r>
            <w:proofErr w:type="gramEnd"/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судьи и сотрудники аппарата суда. Такие занятия были проведены: </w:t>
            </w:r>
          </w:p>
          <w:p w:rsidR="00F171CC" w:rsidRPr="00CF026A" w:rsidRDefault="00F171CC" w:rsidP="00F171CC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февраля 2020 года: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</w:t>
            </w:r>
            <w:r w:rsidR="00CF026A"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методическими рекомендациями </w:t>
            </w:r>
            <w:proofErr w:type="gramStart"/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представлении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год), подготовленных Минтрудом России.</w:t>
            </w:r>
          </w:p>
          <w:p w:rsidR="00F171CC" w:rsidRPr="00CF026A" w:rsidRDefault="00F171CC" w:rsidP="00F171CC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февраля 2020 года: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представлении сведений об адресах сайтов и(или) страниц сайтов в информационно-телекоммуникационной сети «Интернет» в 2019 г. за отчетный 2018 год.</w:t>
            </w:r>
          </w:p>
          <w:p w:rsidR="00F171CC" w:rsidRPr="00CF026A" w:rsidRDefault="00F171CC" w:rsidP="00F171CC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марта 2020 года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— 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законодательства и правовой информации с 11 декабря 2019 по 11 марта 2020 г. </w:t>
            </w:r>
          </w:p>
          <w:p w:rsidR="00F171CC" w:rsidRPr="00CF026A" w:rsidRDefault="00F171CC" w:rsidP="00F171CC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июня 2020 года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— 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6A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законодательства и правовой информации с 12 марта по 17 июня 2020 года.</w:t>
            </w:r>
          </w:p>
          <w:p w:rsidR="000236A6" w:rsidRPr="00CF026A" w:rsidRDefault="000236A6" w:rsidP="00F171CC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с государственными гражданскими служащими аппарата суда в целях профилактики коррупции семинарских занятий по доведению информации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различных организаций и их должностных лиц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236A6" w:rsidRPr="00CF026A" w:rsidRDefault="000236A6" w:rsidP="00904F24">
            <w:pPr>
              <w:ind w:firstLine="45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/>
                <w:bCs/>
                <w:sz w:val="24"/>
                <w:szCs w:val="24"/>
              </w:rPr>
              <w:t>На семинарском занятии 1</w:t>
            </w:r>
            <w:r w:rsidR="0057757F" w:rsidRPr="00CF02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F026A">
              <w:rPr>
                <w:rFonts w:ascii="Times New Roman" w:hAnsi="Times New Roman"/>
                <w:bCs/>
                <w:sz w:val="24"/>
                <w:szCs w:val="24"/>
              </w:rPr>
              <w:t xml:space="preserve"> марта</w:t>
            </w:r>
            <w:r w:rsidR="0057757F" w:rsidRPr="00CF026A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CF026A">
              <w:rPr>
                <w:rFonts w:ascii="Times New Roman" w:hAnsi="Times New Roman"/>
                <w:bCs/>
                <w:sz w:val="24"/>
                <w:szCs w:val="24"/>
              </w:rPr>
              <w:t xml:space="preserve"> года государственные гражданские служащие аппарата суда ознакомлены с информацией </w:t>
            </w:r>
            <w:r w:rsidRPr="00CF026A">
              <w:rPr>
                <w:rFonts w:ascii="Times New Roman" w:hAnsi="Times New Roman"/>
                <w:sz w:val="24"/>
                <w:szCs w:val="24"/>
              </w:rPr>
              <w:t xml:space="preserve">по вопросам правоприменительной практики по результатам вступивших в законную силу решений судов, арбитражных судов о признании </w:t>
            </w:r>
            <w:r w:rsidRPr="00904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недействительными</w:t>
            </w:r>
            <w:r w:rsidRPr="00CF026A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организаций и их должностных лиц в целях профилактики коррупции.</w:t>
            </w:r>
            <w:r w:rsidRPr="00CF026A">
              <w:rPr>
                <w:rFonts w:ascii="Times New Roman" w:hAnsi="Times New Roman"/>
                <w:bCs/>
                <w:sz w:val="24"/>
                <w:szCs w:val="24"/>
              </w:rPr>
              <w:t xml:space="preserve"> (Обзор по Российской Федерации  и Республике Татарстан).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гражданами, поступающими на службу в КС РТ, консультирование государственных гражданских служащих на тему антикоррупционного поведения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373A" w:rsidRPr="00CF026A" w:rsidRDefault="000236A6" w:rsidP="0006373A">
            <w:pPr>
              <w:overflowPunct w:val="0"/>
              <w:adjustRightInd w:val="0"/>
              <w:ind w:right="14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вновь принятые на государственную гражданскую службу, и государственные гражданские служащие аппарата суда, приступившие к исполнению своих должностных обязанностей после отпуска по уходу за ребенком, знакомятся с действующими федеральными законами, нормативными правовыми актами по антикоррупционному законодательству, с ними проводится разъяснительная работа </w:t>
            </w:r>
            <w:r w:rsidR="0006373A" w:rsidRPr="00CF026A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правонарушения.</w:t>
            </w:r>
          </w:p>
          <w:p w:rsidR="000236A6" w:rsidRPr="00CF026A" w:rsidRDefault="000236A6" w:rsidP="0006373A">
            <w:pPr>
              <w:pStyle w:val="ac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обучение государственных гражданских служащих </w:t>
            </w:r>
            <w:proofErr w:type="gramStart"/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аппарата  КС</w:t>
            </w:r>
            <w:proofErr w:type="gramEnd"/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РТ,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27AE7" w:rsidRPr="00CF026A" w:rsidRDefault="00C27AE7" w:rsidP="00C27AE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государственную гражданскую службу в аппарат КС РТ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Ежегодное специализированное повышение квалификации государственных гражданских служащих аппарата КС РТ, в должностные обязанности которых входит участие в противодействие коррупции</w:t>
            </w: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D5816" w:rsidRPr="00CF026A" w:rsidRDefault="006D5816" w:rsidP="00CF026A">
            <w:pPr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857"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апреле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="000C2857" w:rsidRPr="00CF0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сотрудник, ответственный за работу по профилактике коррупционных и иных правонарушений, прошел обучение в Высшей школе государственного и муниципального управления Казанского (Приволжского) федерального университета по программе образовательного семинара «Что такое конфликт интересов? Как его избежать? Как правильно оформить сведен</w:t>
            </w:r>
            <w:r w:rsidR="000C2857" w:rsidRPr="00CF026A">
              <w:rPr>
                <w:rFonts w:ascii="Times New Roman" w:hAnsi="Times New Roman" w:cs="Times New Roman"/>
                <w:sz w:val="24"/>
                <w:szCs w:val="24"/>
              </w:rPr>
              <w:t>ия о доходах и расходах?»</w:t>
            </w:r>
          </w:p>
          <w:p w:rsidR="000236A6" w:rsidRPr="00CF026A" w:rsidRDefault="000236A6" w:rsidP="000236A6">
            <w:pPr>
              <w:pStyle w:val="a4"/>
              <w:spacing w:line="240" w:lineRule="atLeast"/>
              <w:ind w:firstLine="459"/>
              <w:jc w:val="both"/>
              <w:rPr>
                <w:color w:val="FF0000"/>
              </w:rPr>
            </w:pPr>
          </w:p>
        </w:tc>
      </w:tr>
      <w:tr w:rsidR="000236A6" w:rsidRPr="00CF026A" w:rsidTr="00225AB3">
        <w:tc>
          <w:tcPr>
            <w:tcW w:w="14567" w:type="dxa"/>
            <w:gridSpan w:val="3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открытости, доступности для граждан деятельности КС РТ, взаимодействие с гражданским обществом, стимулирование антикоррупционной активности общественности</w:t>
            </w:r>
          </w:p>
        </w:tc>
      </w:tr>
      <w:tr w:rsidR="000236A6" w:rsidRPr="00CF026A" w:rsidTr="000F598C">
        <w:trPr>
          <w:trHeight w:val="1188"/>
        </w:trPr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Организация наполнения раздела "Противодействие коррупции" официального сайта КС РТ в соответствии с законодательством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pStyle w:val="ad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6A">
              <w:rPr>
                <w:rFonts w:ascii="Times New Roman" w:hAnsi="Times New Roman"/>
                <w:sz w:val="24"/>
                <w:szCs w:val="24"/>
              </w:rPr>
              <w:t>Наполнение раздела "Противодействие коррупции" официального сайта КС РТ осуществляется в соответствии с законодательством</w:t>
            </w:r>
            <w:r w:rsidR="00B13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КС РТ в разделе «Противодействие коррупции» ежегодных отчетов о реализации мер антикоррупционной политики в КС РТ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готовится и размещается на официальном сайте суда в разделе «Противодействие коррупции» отчет о реализации мер антикоррупционной политики в Конституционном суде Республики Татарстан</w:t>
            </w:r>
            <w:r w:rsidR="00B1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796" w:type="dxa"/>
          </w:tcPr>
          <w:p w:rsidR="000236A6" w:rsidRPr="00CF026A" w:rsidRDefault="000236A6" w:rsidP="000236A6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В суде размещен обновляемый информационный стенд, посвященный антикоррупционной политике. На стенде размещается информация для сотрудников и посетителей суда,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коррупции.</w:t>
            </w:r>
          </w:p>
        </w:tc>
      </w:tr>
      <w:tr w:rsidR="000236A6" w:rsidRPr="00CF026A" w:rsidTr="000F598C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12" w:type="dxa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Конституционном суде Республики Татарстан</w:t>
            </w:r>
          </w:p>
        </w:tc>
        <w:tc>
          <w:tcPr>
            <w:tcW w:w="7796" w:type="dxa"/>
          </w:tcPr>
          <w:p w:rsidR="00897DB9" w:rsidRPr="00CF026A" w:rsidRDefault="00897DB9" w:rsidP="00897D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предыдущих лет День открытых дверей в </w:t>
            </w:r>
            <w:r w:rsidRPr="00C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Конституционном</w:t>
            </w: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 xml:space="preserve"> суде Республики Татарстан прошел в формате онлайн экскурсии.  В этой связи на официальном сайте Конституционного суда Республики Татарстан в открытом доступе для пользователей был размещен видеоролик, содержащий информацию о деятельности суда</w:t>
            </w:r>
            <w:r w:rsidRPr="00CF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236A6" w:rsidRPr="00CF026A" w:rsidRDefault="000236A6" w:rsidP="000236A6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6A6" w:rsidRPr="00CF026A" w:rsidTr="003E111A">
        <w:tc>
          <w:tcPr>
            <w:tcW w:w="959" w:type="dxa"/>
          </w:tcPr>
          <w:p w:rsidR="000236A6" w:rsidRPr="00CF026A" w:rsidRDefault="000236A6" w:rsidP="0002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  <w:shd w:val="clear" w:color="auto" w:fill="auto"/>
          </w:tcPr>
          <w:p w:rsidR="000236A6" w:rsidRPr="00CF026A" w:rsidRDefault="000236A6" w:rsidP="0002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6A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 экспертного сообщества, членов общественных советов) отчетов о реализации ведомственной программы противодействия коррупции в Конституционном суде Республики Татарстан</w:t>
            </w:r>
          </w:p>
        </w:tc>
        <w:tc>
          <w:tcPr>
            <w:tcW w:w="7796" w:type="dxa"/>
          </w:tcPr>
          <w:p w:rsidR="000236A6" w:rsidRPr="00CF026A" w:rsidRDefault="00B13007" w:rsidP="00B13007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отчета о реализации плана 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в Конституционном суде Республики Татарстан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конец 2020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5A4F" w:rsidRPr="00106E19" w:rsidRDefault="00D15A4F" w:rsidP="0065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5A4F" w:rsidRPr="00106E19" w:rsidSect="0024294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D1" w:rsidRDefault="009070D1" w:rsidP="00C95851">
      <w:pPr>
        <w:spacing w:after="0" w:line="240" w:lineRule="auto"/>
      </w:pPr>
      <w:r>
        <w:separator/>
      </w:r>
    </w:p>
  </w:endnote>
  <w:endnote w:type="continuationSeparator" w:id="0">
    <w:p w:rsidR="009070D1" w:rsidRDefault="009070D1" w:rsidP="00C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74180"/>
      <w:docPartObj>
        <w:docPartGallery w:val="Page Numbers (Bottom of Page)"/>
        <w:docPartUnique/>
      </w:docPartObj>
    </w:sdtPr>
    <w:sdtEndPr/>
    <w:sdtContent>
      <w:p w:rsidR="00C95851" w:rsidRDefault="00C958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E7">
          <w:rPr>
            <w:noProof/>
          </w:rPr>
          <w:t>2</w:t>
        </w:r>
        <w:r>
          <w:fldChar w:fldCharType="end"/>
        </w:r>
      </w:p>
    </w:sdtContent>
  </w:sdt>
  <w:p w:rsidR="00C95851" w:rsidRDefault="00C958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D1" w:rsidRDefault="009070D1" w:rsidP="00C95851">
      <w:pPr>
        <w:spacing w:after="0" w:line="240" w:lineRule="auto"/>
      </w:pPr>
      <w:r>
        <w:separator/>
      </w:r>
    </w:p>
  </w:footnote>
  <w:footnote w:type="continuationSeparator" w:id="0">
    <w:p w:rsidR="009070D1" w:rsidRDefault="009070D1" w:rsidP="00C9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E"/>
    <w:rsid w:val="0000257C"/>
    <w:rsid w:val="000236A6"/>
    <w:rsid w:val="00031947"/>
    <w:rsid w:val="00053051"/>
    <w:rsid w:val="00057DF4"/>
    <w:rsid w:val="0006373A"/>
    <w:rsid w:val="00066834"/>
    <w:rsid w:val="0007347D"/>
    <w:rsid w:val="000751D8"/>
    <w:rsid w:val="00077D43"/>
    <w:rsid w:val="000876B3"/>
    <w:rsid w:val="00096A01"/>
    <w:rsid w:val="000A2FF0"/>
    <w:rsid w:val="000B638B"/>
    <w:rsid w:val="000B76B3"/>
    <w:rsid w:val="000C2857"/>
    <w:rsid w:val="000E79CE"/>
    <w:rsid w:val="000F17CD"/>
    <w:rsid w:val="000F598C"/>
    <w:rsid w:val="00106E19"/>
    <w:rsid w:val="00116D8B"/>
    <w:rsid w:val="001224B7"/>
    <w:rsid w:val="00126801"/>
    <w:rsid w:val="00157052"/>
    <w:rsid w:val="001579AC"/>
    <w:rsid w:val="00173818"/>
    <w:rsid w:val="0019439E"/>
    <w:rsid w:val="001A283A"/>
    <w:rsid w:val="001E5DEC"/>
    <w:rsid w:val="001F200E"/>
    <w:rsid w:val="00233602"/>
    <w:rsid w:val="00241E46"/>
    <w:rsid w:val="002424D0"/>
    <w:rsid w:val="0024294C"/>
    <w:rsid w:val="0025200C"/>
    <w:rsid w:val="00254C14"/>
    <w:rsid w:val="00255BF1"/>
    <w:rsid w:val="002703D3"/>
    <w:rsid w:val="00271D49"/>
    <w:rsid w:val="00277E0E"/>
    <w:rsid w:val="002832E2"/>
    <w:rsid w:val="00283729"/>
    <w:rsid w:val="002B5851"/>
    <w:rsid w:val="002C5988"/>
    <w:rsid w:val="002D1D98"/>
    <w:rsid w:val="002E7330"/>
    <w:rsid w:val="002E7518"/>
    <w:rsid w:val="002F3F02"/>
    <w:rsid w:val="002F4AC3"/>
    <w:rsid w:val="002F582F"/>
    <w:rsid w:val="00306036"/>
    <w:rsid w:val="003108B0"/>
    <w:rsid w:val="00334F23"/>
    <w:rsid w:val="00346169"/>
    <w:rsid w:val="00355A67"/>
    <w:rsid w:val="00367555"/>
    <w:rsid w:val="00372DE6"/>
    <w:rsid w:val="003840FB"/>
    <w:rsid w:val="003E111A"/>
    <w:rsid w:val="004108F5"/>
    <w:rsid w:val="00411A4F"/>
    <w:rsid w:val="00435BF1"/>
    <w:rsid w:val="004566C8"/>
    <w:rsid w:val="00457039"/>
    <w:rsid w:val="00474C68"/>
    <w:rsid w:val="004955DE"/>
    <w:rsid w:val="0049625B"/>
    <w:rsid w:val="004B2C40"/>
    <w:rsid w:val="004C1983"/>
    <w:rsid w:val="004C33AC"/>
    <w:rsid w:val="004D60E8"/>
    <w:rsid w:val="00513F56"/>
    <w:rsid w:val="00525190"/>
    <w:rsid w:val="005432A0"/>
    <w:rsid w:val="0057757F"/>
    <w:rsid w:val="005805F6"/>
    <w:rsid w:val="005C1F3B"/>
    <w:rsid w:val="005E36EB"/>
    <w:rsid w:val="006125D8"/>
    <w:rsid w:val="00643F35"/>
    <w:rsid w:val="00652D4E"/>
    <w:rsid w:val="006760B7"/>
    <w:rsid w:val="006D2246"/>
    <w:rsid w:val="006D5816"/>
    <w:rsid w:val="00706F38"/>
    <w:rsid w:val="00711466"/>
    <w:rsid w:val="00720C1E"/>
    <w:rsid w:val="007360D7"/>
    <w:rsid w:val="00737489"/>
    <w:rsid w:val="00740F5D"/>
    <w:rsid w:val="00763378"/>
    <w:rsid w:val="00772076"/>
    <w:rsid w:val="007768A1"/>
    <w:rsid w:val="00777116"/>
    <w:rsid w:val="007779F7"/>
    <w:rsid w:val="00791C5E"/>
    <w:rsid w:val="007A14E4"/>
    <w:rsid w:val="007A1A89"/>
    <w:rsid w:val="007C176F"/>
    <w:rsid w:val="007D45F5"/>
    <w:rsid w:val="007E4090"/>
    <w:rsid w:val="007E4B16"/>
    <w:rsid w:val="007E56B6"/>
    <w:rsid w:val="007E64A8"/>
    <w:rsid w:val="008338DA"/>
    <w:rsid w:val="00842635"/>
    <w:rsid w:val="0085511B"/>
    <w:rsid w:val="0087641B"/>
    <w:rsid w:val="00893FC2"/>
    <w:rsid w:val="00897DB9"/>
    <w:rsid w:val="008B45F8"/>
    <w:rsid w:val="008D6080"/>
    <w:rsid w:val="008F3F2E"/>
    <w:rsid w:val="00904F24"/>
    <w:rsid w:val="009070D1"/>
    <w:rsid w:val="0091062C"/>
    <w:rsid w:val="00923135"/>
    <w:rsid w:val="009324BB"/>
    <w:rsid w:val="00937889"/>
    <w:rsid w:val="00942924"/>
    <w:rsid w:val="00954D18"/>
    <w:rsid w:val="00970FA8"/>
    <w:rsid w:val="00982DEE"/>
    <w:rsid w:val="009E735C"/>
    <w:rsid w:val="00A0642F"/>
    <w:rsid w:val="00A1154B"/>
    <w:rsid w:val="00A11B30"/>
    <w:rsid w:val="00A13D98"/>
    <w:rsid w:val="00A1420B"/>
    <w:rsid w:val="00A30951"/>
    <w:rsid w:val="00A36FDF"/>
    <w:rsid w:val="00A80FB4"/>
    <w:rsid w:val="00A87678"/>
    <w:rsid w:val="00AA5B6F"/>
    <w:rsid w:val="00AA641E"/>
    <w:rsid w:val="00AB2CD5"/>
    <w:rsid w:val="00AB388D"/>
    <w:rsid w:val="00AE54DC"/>
    <w:rsid w:val="00AF6C14"/>
    <w:rsid w:val="00B02A4A"/>
    <w:rsid w:val="00B02B90"/>
    <w:rsid w:val="00B13007"/>
    <w:rsid w:val="00B2573E"/>
    <w:rsid w:val="00B31E81"/>
    <w:rsid w:val="00B57C0B"/>
    <w:rsid w:val="00B66058"/>
    <w:rsid w:val="00BA23E9"/>
    <w:rsid w:val="00BA552F"/>
    <w:rsid w:val="00BD1D68"/>
    <w:rsid w:val="00BE4D62"/>
    <w:rsid w:val="00BF2EFC"/>
    <w:rsid w:val="00BF3E9B"/>
    <w:rsid w:val="00C05A1F"/>
    <w:rsid w:val="00C27AE7"/>
    <w:rsid w:val="00C607C9"/>
    <w:rsid w:val="00C71FB5"/>
    <w:rsid w:val="00C756AC"/>
    <w:rsid w:val="00C95851"/>
    <w:rsid w:val="00CC2756"/>
    <w:rsid w:val="00CC35F2"/>
    <w:rsid w:val="00CD2C2C"/>
    <w:rsid w:val="00CD5C7A"/>
    <w:rsid w:val="00CF026A"/>
    <w:rsid w:val="00D003B0"/>
    <w:rsid w:val="00D0365E"/>
    <w:rsid w:val="00D15A4F"/>
    <w:rsid w:val="00D3635F"/>
    <w:rsid w:val="00D41F82"/>
    <w:rsid w:val="00D42585"/>
    <w:rsid w:val="00D507F6"/>
    <w:rsid w:val="00D53073"/>
    <w:rsid w:val="00D9467A"/>
    <w:rsid w:val="00D9567C"/>
    <w:rsid w:val="00DA1778"/>
    <w:rsid w:val="00DA714F"/>
    <w:rsid w:val="00DF1828"/>
    <w:rsid w:val="00E02ADA"/>
    <w:rsid w:val="00E1292D"/>
    <w:rsid w:val="00E21C42"/>
    <w:rsid w:val="00E33A8E"/>
    <w:rsid w:val="00E503D5"/>
    <w:rsid w:val="00E53E8B"/>
    <w:rsid w:val="00E54A5F"/>
    <w:rsid w:val="00E73F35"/>
    <w:rsid w:val="00E809F0"/>
    <w:rsid w:val="00E80D42"/>
    <w:rsid w:val="00E93FE5"/>
    <w:rsid w:val="00EA41DB"/>
    <w:rsid w:val="00EA6B8A"/>
    <w:rsid w:val="00EE7489"/>
    <w:rsid w:val="00EE7AD1"/>
    <w:rsid w:val="00EF0AA3"/>
    <w:rsid w:val="00EF3E3B"/>
    <w:rsid w:val="00F171CC"/>
    <w:rsid w:val="00F33DE1"/>
    <w:rsid w:val="00F5345C"/>
    <w:rsid w:val="00F66653"/>
    <w:rsid w:val="00F71ED4"/>
    <w:rsid w:val="00F7427D"/>
    <w:rsid w:val="00F761C2"/>
    <w:rsid w:val="00F777B0"/>
    <w:rsid w:val="00F855CF"/>
    <w:rsid w:val="00F937AA"/>
    <w:rsid w:val="00FA1233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9176"/>
  <w15:docId w15:val="{6799827D-59E5-4E89-A8C8-126B7E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1570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51"/>
  </w:style>
  <w:style w:type="paragraph" w:styleId="a9">
    <w:name w:val="footer"/>
    <w:basedOn w:val="a"/>
    <w:link w:val="aa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51"/>
  </w:style>
  <w:style w:type="character" w:customStyle="1" w:styleId="ab">
    <w:name w:val="Цветовое выделение"/>
    <w:uiPriority w:val="99"/>
    <w:rsid w:val="00942924"/>
    <w:rPr>
      <w:b/>
      <w:color w:val="26282F"/>
    </w:rPr>
  </w:style>
  <w:style w:type="paragraph" w:styleId="ac">
    <w:name w:val="No Spacing"/>
    <w:uiPriority w:val="1"/>
    <w:qFormat/>
    <w:rsid w:val="000530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F3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5D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46DB-10CF-499A-8034-782D4566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5</cp:revision>
  <cp:lastPrinted>2018-12-13T13:09:00Z</cp:lastPrinted>
  <dcterms:created xsi:type="dcterms:W3CDTF">2021-10-07T12:51:00Z</dcterms:created>
  <dcterms:modified xsi:type="dcterms:W3CDTF">2021-10-07T13:07:00Z</dcterms:modified>
</cp:coreProperties>
</file>